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ind w:left="0"/>
        <w:textAlignment w:val="auto"/>
        <w:rPr>
          <w:rFonts w:hint="eastAsia"/>
          <w:color w:val="auto"/>
        </w:rPr>
      </w:pPr>
      <w:r>
        <w:rPr>
          <w:rFonts w:hint="eastAsia"/>
          <w:color w:val="auto"/>
          <w:lang w:val="en-US" w:eastAsia="zh-CN"/>
        </w:rPr>
        <w:t>上高县农业农村局2020年</w:t>
      </w:r>
      <w:r>
        <w:rPr>
          <w:rFonts w:hint="eastAsia"/>
          <w:color w:val="auto"/>
        </w:rPr>
        <w:t>政府信息公开工作年度报告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420"/>
        <w:jc w:val="both"/>
        <w:textAlignment w:val="auto"/>
        <w:rPr>
          <w:rFonts w:hint="eastAsia" w:ascii="仿宋" w:hAnsi="仿宋" w:eastAsia="仿宋" w:cs="仿宋"/>
          <w:i w:val="0"/>
          <w:caps w:val="0"/>
          <w:color w:val="auto"/>
          <w:spacing w:val="0"/>
          <w:sz w:val="32"/>
          <w:szCs w:val="3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仿宋" w:hAnsi="仿宋" w:eastAsia="仿宋" w:cs="仿宋"/>
          <w:i w:val="0"/>
          <w:caps w:val="0"/>
          <w:color w:val="auto"/>
          <w:spacing w:val="0"/>
          <w:sz w:val="32"/>
          <w:szCs w:val="32"/>
          <w:highlight w:val="none"/>
        </w:rPr>
      </w:pPr>
      <w:r>
        <w:rPr>
          <w:rFonts w:hint="eastAsia" w:ascii="仿宋" w:hAnsi="仿宋" w:eastAsia="仿宋" w:cs="仿宋"/>
          <w:i w:val="0"/>
          <w:caps w:val="0"/>
          <w:color w:val="auto"/>
          <w:spacing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上高县农业农村局结合有关统计数据编制。本年度报告中所列数据的统计期限自</w:t>
      </w:r>
      <w:r>
        <w:rPr>
          <w:rFonts w:hint="eastAsia" w:ascii="仿宋" w:hAnsi="仿宋" w:eastAsia="仿宋" w:cs="仿宋"/>
          <w:i w:val="0"/>
          <w:caps w:val="0"/>
          <w:color w:val="auto"/>
          <w:spacing w:val="0"/>
          <w:sz w:val="32"/>
          <w:szCs w:val="32"/>
          <w:lang w:val="en-US" w:eastAsia="zh-CN"/>
        </w:rPr>
        <w:t>2020</w:t>
      </w:r>
      <w:r>
        <w:rPr>
          <w:rFonts w:hint="eastAsia" w:ascii="仿宋" w:hAnsi="仿宋" w:eastAsia="仿宋" w:cs="仿宋"/>
          <w:i w:val="0"/>
          <w:caps w:val="0"/>
          <w:color w:val="auto"/>
          <w:spacing w:val="0"/>
          <w:sz w:val="32"/>
          <w:szCs w:val="32"/>
        </w:rPr>
        <w:t>年1月1日起至</w:t>
      </w:r>
      <w:r>
        <w:rPr>
          <w:rFonts w:hint="eastAsia" w:ascii="仿宋" w:hAnsi="仿宋" w:eastAsia="仿宋" w:cs="仿宋"/>
          <w:i w:val="0"/>
          <w:caps w:val="0"/>
          <w:color w:val="auto"/>
          <w:spacing w:val="0"/>
          <w:sz w:val="32"/>
          <w:szCs w:val="32"/>
          <w:lang w:val="en-US" w:eastAsia="zh-CN"/>
        </w:rPr>
        <w:t>2020</w:t>
      </w:r>
      <w:r>
        <w:rPr>
          <w:rFonts w:hint="eastAsia" w:ascii="仿宋" w:hAnsi="仿宋" w:eastAsia="仿宋" w:cs="仿宋"/>
          <w:i w:val="0"/>
          <w:caps w:val="0"/>
          <w:color w:val="auto"/>
          <w:spacing w:val="0"/>
          <w:sz w:val="32"/>
          <w:szCs w:val="32"/>
        </w:rPr>
        <w:t>年12月31日止。全文包括总体情况、主动公开政府信息情况、收到</w:t>
      </w:r>
      <w:r>
        <w:rPr>
          <w:rFonts w:hint="eastAsia" w:ascii="仿宋" w:hAnsi="仿宋" w:eastAsia="仿宋" w:cs="仿宋"/>
          <w:i w:val="0"/>
          <w:caps w:val="0"/>
          <w:color w:val="auto"/>
          <w:spacing w:val="0"/>
          <w:sz w:val="32"/>
          <w:szCs w:val="32"/>
          <w:highlight w:val="none"/>
        </w:rPr>
        <w:t>和处理政府信息公开申请情况、政府信息公开行政复议行政诉讼情况、存在的主要问题及改进情况、其他需要报告的事项。本年度报告的电子版可以从</w:t>
      </w:r>
      <w:r>
        <w:rPr>
          <w:rFonts w:hint="eastAsia" w:ascii="仿宋" w:hAnsi="仿宋" w:eastAsia="仿宋" w:cs="仿宋"/>
          <w:i w:val="0"/>
          <w:caps w:val="0"/>
          <w:color w:val="auto"/>
          <w:spacing w:val="0"/>
          <w:sz w:val="32"/>
          <w:szCs w:val="32"/>
          <w:highlight w:val="none"/>
          <w:lang w:val="en-US" w:eastAsia="zh-CN"/>
        </w:rPr>
        <w:t>上高县</w:t>
      </w:r>
      <w:r>
        <w:rPr>
          <w:rFonts w:hint="eastAsia" w:ascii="仿宋" w:hAnsi="仿宋" w:eastAsia="仿宋" w:cs="仿宋"/>
          <w:i w:val="0"/>
          <w:caps w:val="0"/>
          <w:color w:val="auto"/>
          <w:spacing w:val="0"/>
          <w:sz w:val="32"/>
          <w:szCs w:val="32"/>
          <w:highlight w:val="none"/>
        </w:rPr>
        <w:t>人民政府网站（http://www.shanggao.gov.cn）下载。如对本报告有任何疑问，请与上高县农业农村局联系（地址：</w:t>
      </w:r>
      <w:r>
        <w:rPr>
          <w:rFonts w:hint="eastAsia" w:ascii="仿宋" w:hAnsi="仿宋" w:eastAsia="仿宋" w:cs="仿宋"/>
          <w:i w:val="0"/>
          <w:caps w:val="0"/>
          <w:color w:val="auto"/>
          <w:spacing w:val="0"/>
          <w:sz w:val="32"/>
          <w:szCs w:val="32"/>
          <w:highlight w:val="none"/>
          <w:lang w:eastAsia="zh-CN"/>
        </w:rPr>
        <w:t>上高县</w:t>
      </w:r>
      <w:r>
        <w:rPr>
          <w:rFonts w:hint="eastAsia" w:ascii="仿宋" w:hAnsi="仿宋" w:eastAsia="仿宋" w:cs="仿宋"/>
          <w:i w:val="0"/>
          <w:caps w:val="0"/>
          <w:color w:val="auto"/>
          <w:spacing w:val="0"/>
          <w:sz w:val="32"/>
          <w:szCs w:val="32"/>
          <w:highlight w:val="none"/>
          <w:lang w:val="en-US" w:eastAsia="zh-CN"/>
        </w:rPr>
        <w:t>清莲路9号</w:t>
      </w:r>
      <w:r>
        <w:rPr>
          <w:rFonts w:hint="eastAsia" w:ascii="仿宋" w:hAnsi="仿宋" w:eastAsia="仿宋" w:cs="仿宋"/>
          <w:i w:val="0"/>
          <w:caps w:val="0"/>
          <w:color w:val="auto"/>
          <w:spacing w:val="0"/>
          <w:sz w:val="32"/>
          <w:szCs w:val="32"/>
          <w:highlight w:val="none"/>
        </w:rPr>
        <w:t>，电话：</w:t>
      </w:r>
      <w:r>
        <w:rPr>
          <w:rFonts w:hint="eastAsia" w:ascii="仿宋" w:hAnsi="仿宋" w:eastAsia="仿宋" w:cs="仿宋"/>
          <w:i w:val="0"/>
          <w:caps w:val="0"/>
          <w:color w:val="auto"/>
          <w:spacing w:val="0"/>
          <w:sz w:val="32"/>
          <w:szCs w:val="32"/>
          <w:highlight w:val="none"/>
          <w:lang w:val="en-US" w:eastAsia="zh-CN"/>
        </w:rPr>
        <w:t>0795-2511849</w:t>
      </w:r>
      <w:r>
        <w:rPr>
          <w:rFonts w:hint="eastAsia" w:ascii="仿宋" w:hAnsi="仿宋" w:eastAsia="仿宋" w:cs="仿宋"/>
          <w:i w:val="0"/>
          <w:caps w:val="0"/>
          <w:color w:val="auto"/>
          <w:spacing w:val="0"/>
          <w:sz w:val="32"/>
          <w:szCs w:val="32"/>
          <w:highlight w:val="none"/>
        </w:rPr>
        <w:t>，邮编：</w:t>
      </w:r>
      <w:r>
        <w:rPr>
          <w:rFonts w:hint="eastAsia" w:ascii="仿宋" w:hAnsi="仿宋" w:eastAsia="仿宋" w:cs="仿宋"/>
          <w:i w:val="0"/>
          <w:caps w:val="0"/>
          <w:color w:val="auto"/>
          <w:spacing w:val="0"/>
          <w:sz w:val="32"/>
          <w:szCs w:val="32"/>
          <w:highlight w:val="none"/>
          <w:lang w:val="en-US" w:eastAsia="zh-CN"/>
        </w:rPr>
        <w:t>336400</w:t>
      </w:r>
      <w:r>
        <w:rPr>
          <w:rFonts w:hint="eastAsia" w:ascii="仿宋" w:hAnsi="仿宋" w:eastAsia="仿宋" w:cs="仿宋"/>
          <w:i w:val="0"/>
          <w:caps w:val="0"/>
          <w:color w:val="auto"/>
          <w:spacing w:val="0"/>
          <w:sz w:val="32"/>
          <w:szCs w:val="32"/>
          <w:highlight w:val="none"/>
        </w:rPr>
        <w:t>）。</w:t>
      </w:r>
    </w:p>
    <w:p>
      <w:pPr>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420"/>
        <w:jc w:val="both"/>
        <w:textAlignment w:val="auto"/>
        <w:rPr>
          <w:rFonts w:hint="eastAsia" w:ascii="黑体" w:hAnsi="黑体" w:eastAsia="黑体" w:cs="黑体"/>
          <w:b w:val="0"/>
          <w:bCs/>
          <w:i w:val="0"/>
          <w:caps w:val="0"/>
          <w:color w:val="auto"/>
          <w:spacing w:val="0"/>
          <w:sz w:val="32"/>
          <w:szCs w:val="32"/>
          <w:highlight w:val="none"/>
          <w:shd w:val="clear" w:fill="FFFFFF"/>
        </w:rPr>
      </w:pPr>
      <w:r>
        <w:rPr>
          <w:rFonts w:hint="eastAsia" w:ascii="黑体" w:hAnsi="黑体" w:eastAsia="黑体" w:cs="黑体"/>
          <w:b w:val="0"/>
          <w:bCs/>
          <w:i w:val="0"/>
          <w:caps w:val="0"/>
          <w:color w:val="auto"/>
          <w:spacing w:val="0"/>
          <w:sz w:val="32"/>
          <w:szCs w:val="32"/>
          <w:highlight w:val="none"/>
          <w:shd w:val="clear" w:fill="FFFFFF"/>
        </w:rPr>
        <w:t>总体情况</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rightChars="0" w:firstLine="640" w:firstLineChars="200"/>
        <w:jc w:val="both"/>
        <w:textAlignment w:val="auto"/>
        <w:rPr>
          <w:rFonts w:hint="eastAsia" w:ascii="宋体" w:hAnsi="宋体" w:eastAsia="仿宋" w:cs="宋体"/>
          <w:i w:val="0"/>
          <w:caps w:val="0"/>
          <w:color w:val="auto"/>
          <w:spacing w:val="0"/>
          <w:sz w:val="32"/>
          <w:szCs w:val="32"/>
          <w:shd w:val="clear" w:fill="FFFFFF"/>
          <w:lang w:val="en-US" w:eastAsia="zh-CN"/>
        </w:rPr>
      </w:pPr>
      <w:r>
        <w:rPr>
          <w:rFonts w:hint="eastAsia" w:ascii="宋体" w:hAnsi="宋体" w:eastAsia="仿宋" w:cs="宋体"/>
          <w:i w:val="0"/>
          <w:caps w:val="0"/>
          <w:color w:val="auto"/>
          <w:spacing w:val="0"/>
          <w:sz w:val="32"/>
          <w:szCs w:val="32"/>
          <w:highlight w:val="none"/>
          <w:shd w:val="clear" w:fill="FFFFFF"/>
          <w:lang w:val="en-US" w:eastAsia="zh-CN"/>
        </w:rPr>
        <w:t>2020年上高县农业农村局坚持以习近平新时代中国特</w:t>
      </w:r>
      <w:r>
        <w:rPr>
          <w:rFonts w:hint="eastAsia" w:ascii="宋体" w:hAnsi="宋体" w:eastAsia="仿宋" w:cs="宋体"/>
          <w:i w:val="0"/>
          <w:caps w:val="0"/>
          <w:color w:val="auto"/>
          <w:spacing w:val="0"/>
          <w:sz w:val="32"/>
          <w:szCs w:val="32"/>
          <w:shd w:val="clear" w:fill="FFFFFF"/>
          <w:lang w:val="en-US" w:eastAsia="zh-CN"/>
        </w:rPr>
        <w:t>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明确目标任务，紧紧围绕省委、省政府中心工作及社会群众关注关切，着力提升政府信息公开质量，推进拓宽政府信息公开渠道，不断增强政府信息公开实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both"/>
        <w:textAlignment w:val="auto"/>
        <w:rPr>
          <w:rFonts w:hint="default" w:ascii="Calibri" w:hAnsi="Calibri" w:eastAsia="仿宋" w:cs="Calibri"/>
          <w:i w:val="0"/>
          <w:caps w:val="0"/>
          <w:color w:val="auto"/>
          <w:spacing w:val="0"/>
          <w:sz w:val="21"/>
          <w:szCs w:val="21"/>
        </w:rPr>
      </w:pPr>
      <w:r>
        <w:rPr>
          <w:rFonts w:ascii="楷体_GB2312" w:hAnsi="Calibri" w:eastAsia="楷体_GB2312" w:cs="楷体_GB2312"/>
          <w:i w:val="0"/>
          <w:caps w:val="0"/>
          <w:color w:val="auto"/>
          <w:spacing w:val="0"/>
          <w:kern w:val="0"/>
          <w:sz w:val="32"/>
          <w:szCs w:val="32"/>
          <w:shd w:val="clear" w:fill="FFFFFF"/>
          <w:lang w:val="en-US" w:eastAsia="zh-CN" w:bidi="ar"/>
        </w:rPr>
        <w:t>（一）主动公开情况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both"/>
        <w:textAlignment w:val="auto"/>
        <w:rPr>
          <w:rFonts w:hint="eastAsia" w:ascii="Calibri" w:hAnsi="Calibri" w:eastAsia="仿宋" w:cs="Calibri"/>
          <w:i w:val="0"/>
          <w:caps w:val="0"/>
          <w:color w:val="auto"/>
          <w:spacing w:val="0"/>
          <w:sz w:val="21"/>
          <w:szCs w:val="21"/>
          <w:lang w:eastAsia="zh-CN"/>
        </w:rPr>
      </w:pPr>
      <w:r>
        <w:rPr>
          <w:rFonts w:hint="eastAsia" w:ascii="仿宋_GB2312" w:hAnsi="Calibri" w:eastAsia="仿宋" w:cs="仿宋_GB2312"/>
          <w:i w:val="0"/>
          <w:caps w:val="0"/>
          <w:color w:val="auto"/>
          <w:spacing w:val="0"/>
          <w:kern w:val="0"/>
          <w:sz w:val="32"/>
          <w:szCs w:val="32"/>
          <w:shd w:val="clear" w:fill="FFFFFF"/>
          <w:lang w:val="en-US" w:eastAsia="zh-CN" w:bidi="ar"/>
        </w:rPr>
        <w:t>2020年，上高县农业农村局以政务公开网站为平台，充分利用政务新媒体平台优势，全方位、多渠道的推进主动公开政府信息工作。不断强化网站安全管理、信息采编审核、网站集约化建设等工作，不断优化、完善政府信息公开目录，为群众提供政府信息的查询等服务。2020年主动公开政府信息103条，其中：主动公开规范性文件0件，行政处罚公开8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both"/>
        <w:textAlignment w:val="auto"/>
        <w:rPr>
          <w:rFonts w:hint="default" w:ascii="Calibri" w:hAnsi="Calibri" w:eastAsia="仿宋" w:cs="Calibri"/>
          <w:i w:val="0"/>
          <w:caps w:val="0"/>
          <w:color w:val="auto"/>
          <w:spacing w:val="0"/>
          <w:sz w:val="21"/>
          <w:szCs w:val="21"/>
        </w:rPr>
      </w:pPr>
      <w:r>
        <w:rPr>
          <w:rFonts w:hint="eastAsia" w:ascii="楷体_GB2312" w:hAnsi="Calibri" w:eastAsia="楷体_GB2312" w:cs="楷体_GB2312"/>
          <w:i w:val="0"/>
          <w:caps w:val="0"/>
          <w:color w:val="auto"/>
          <w:spacing w:val="0"/>
          <w:kern w:val="0"/>
          <w:sz w:val="32"/>
          <w:szCs w:val="32"/>
          <w:shd w:val="clear" w:fill="FFFFFF"/>
          <w:lang w:val="en-US" w:eastAsia="zh-CN" w:bidi="ar"/>
        </w:rPr>
        <w:t>（二）依申请公开情况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both"/>
        <w:textAlignment w:val="auto"/>
        <w:rPr>
          <w:rFonts w:hint="default" w:ascii="Calibri" w:hAnsi="Calibri" w:eastAsia="仿宋" w:cs="Calibri"/>
          <w:i w:val="0"/>
          <w:caps w:val="0"/>
          <w:color w:val="auto"/>
          <w:spacing w:val="0"/>
          <w:sz w:val="21"/>
          <w:szCs w:val="21"/>
        </w:rPr>
      </w:pPr>
      <w:r>
        <w:rPr>
          <w:rFonts w:hint="eastAsia" w:ascii="仿宋_GB2312" w:hAnsi="Calibri" w:eastAsia="仿宋" w:cs="仿宋_GB2312"/>
          <w:i w:val="0"/>
          <w:caps w:val="0"/>
          <w:color w:val="auto"/>
          <w:spacing w:val="0"/>
          <w:kern w:val="0"/>
          <w:sz w:val="32"/>
          <w:szCs w:val="32"/>
          <w:shd w:val="clear" w:fill="FFFFFF"/>
          <w:lang w:val="en-US" w:eastAsia="zh-CN" w:bidi="ar"/>
        </w:rPr>
        <w:t>依照《条例》的规定，2020年，我局各站室开展了依申请公开受理工作，共收到自然人、法人或其他组织的依申请件0件。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both"/>
        <w:textAlignment w:val="auto"/>
        <w:rPr>
          <w:rFonts w:hint="default" w:ascii="Calibri" w:hAnsi="Calibri" w:eastAsia="仿宋" w:cs="Calibri"/>
          <w:i w:val="0"/>
          <w:caps w:val="0"/>
          <w:color w:val="auto"/>
          <w:spacing w:val="0"/>
          <w:sz w:val="21"/>
          <w:szCs w:val="21"/>
        </w:rPr>
      </w:pPr>
      <w:r>
        <w:rPr>
          <w:rFonts w:hint="eastAsia" w:ascii="楷体_GB2312" w:hAnsi="Calibri" w:eastAsia="楷体_GB2312" w:cs="楷体_GB2312"/>
          <w:i w:val="0"/>
          <w:caps w:val="0"/>
          <w:color w:val="auto"/>
          <w:spacing w:val="0"/>
          <w:kern w:val="0"/>
          <w:sz w:val="32"/>
          <w:szCs w:val="32"/>
          <w:shd w:val="clear" w:fill="FFFFFF"/>
          <w:lang w:val="en-US" w:eastAsia="zh-CN" w:bidi="ar"/>
        </w:rPr>
        <w:t>（三）政府信息管理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both"/>
        <w:textAlignment w:val="auto"/>
        <w:rPr>
          <w:rFonts w:hint="default" w:ascii="Calibri" w:hAnsi="Calibri" w:eastAsia="仿宋" w:cs="Calibri"/>
          <w:i w:val="0"/>
          <w:caps w:val="0"/>
          <w:color w:val="auto"/>
          <w:spacing w:val="0"/>
          <w:sz w:val="21"/>
          <w:szCs w:val="21"/>
        </w:rPr>
      </w:pPr>
      <w:r>
        <w:rPr>
          <w:rFonts w:hint="eastAsia" w:ascii="仿宋_GB2312" w:hAnsi="Calibri" w:eastAsia="仿宋" w:cs="仿宋_GB2312"/>
          <w:i w:val="0"/>
          <w:caps w:val="0"/>
          <w:color w:val="auto"/>
          <w:spacing w:val="0"/>
          <w:kern w:val="0"/>
          <w:sz w:val="32"/>
          <w:szCs w:val="32"/>
          <w:shd w:val="clear" w:fill="FFFFFF"/>
          <w:lang w:val="en-US" w:eastAsia="zh-CN" w:bidi="ar"/>
        </w:rPr>
        <w:t>按照《条例》规定，逐项分解下达年度政府信息公开任务到责任站室，在全局范围内广泛收集最新工作动态，严格按照《中华人民共和国政府信息条例》及时公开政府信息，确保信息公开及时、迅速。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both"/>
        <w:textAlignment w:val="auto"/>
        <w:rPr>
          <w:rFonts w:hint="default" w:ascii="Calibri" w:hAnsi="Calibri" w:eastAsia="仿宋" w:cs="Calibri"/>
          <w:i w:val="0"/>
          <w:caps w:val="0"/>
          <w:color w:val="auto"/>
          <w:spacing w:val="0"/>
          <w:sz w:val="21"/>
          <w:szCs w:val="21"/>
        </w:rPr>
      </w:pPr>
      <w:r>
        <w:rPr>
          <w:rFonts w:hint="eastAsia" w:ascii="楷体_GB2312" w:hAnsi="Calibri" w:eastAsia="楷体_GB2312" w:cs="楷体_GB2312"/>
          <w:i w:val="0"/>
          <w:caps w:val="0"/>
          <w:color w:val="auto"/>
          <w:spacing w:val="0"/>
          <w:kern w:val="0"/>
          <w:sz w:val="32"/>
          <w:szCs w:val="32"/>
          <w:shd w:val="clear" w:fill="FFFFFF"/>
          <w:lang w:val="en-US" w:eastAsia="zh-CN" w:bidi="ar"/>
        </w:rPr>
        <w:t>（四）公开平台建设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both"/>
        <w:textAlignment w:val="auto"/>
        <w:rPr>
          <w:rFonts w:hint="default" w:ascii="Calibri" w:hAnsi="Calibri" w:eastAsia="仿宋" w:cs="Calibri"/>
          <w:i w:val="0"/>
          <w:caps w:val="0"/>
          <w:color w:val="auto"/>
          <w:spacing w:val="0"/>
          <w:sz w:val="21"/>
          <w:szCs w:val="21"/>
        </w:rPr>
      </w:pPr>
      <w:r>
        <w:rPr>
          <w:rFonts w:hint="eastAsia" w:ascii="仿宋_GB2312" w:hAnsi="Calibri" w:eastAsia="仿宋" w:cs="仿宋_GB2312"/>
          <w:i w:val="0"/>
          <w:caps w:val="0"/>
          <w:color w:val="auto"/>
          <w:spacing w:val="0"/>
          <w:kern w:val="0"/>
          <w:sz w:val="32"/>
          <w:szCs w:val="32"/>
          <w:shd w:val="clear" w:fill="FFFFFF"/>
          <w:lang w:val="en-US" w:eastAsia="zh-CN" w:bidi="ar"/>
        </w:rPr>
        <w:t>为进一步拓宽我局联系、服务群众渠道，扩大对外宣传力度，提高工作透明度，所有的信息公开均层层把关，定期更新工作动态，对更新不及时，提供资料不及时的，予以督催，必要情况下予以通报批评。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both"/>
        <w:textAlignment w:val="auto"/>
        <w:rPr>
          <w:rFonts w:hint="default" w:ascii="Calibri" w:hAnsi="Calibri" w:eastAsia="仿宋" w:cs="Calibri"/>
          <w:i w:val="0"/>
          <w:caps w:val="0"/>
          <w:color w:val="auto"/>
          <w:spacing w:val="0"/>
          <w:sz w:val="21"/>
          <w:szCs w:val="21"/>
        </w:rPr>
      </w:pPr>
      <w:r>
        <w:rPr>
          <w:rFonts w:hint="eastAsia" w:ascii="楷体_GB2312" w:hAnsi="Calibri" w:eastAsia="楷体_GB2312" w:cs="楷体_GB2312"/>
          <w:i w:val="0"/>
          <w:caps w:val="0"/>
          <w:color w:val="auto"/>
          <w:spacing w:val="0"/>
          <w:kern w:val="0"/>
          <w:sz w:val="32"/>
          <w:szCs w:val="32"/>
          <w:shd w:val="clear" w:fill="FFFFFF"/>
          <w:lang w:val="en-US" w:eastAsia="zh-CN" w:bidi="ar"/>
        </w:rPr>
        <w:t>（五）监督保障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both"/>
        <w:textAlignment w:val="auto"/>
        <w:rPr>
          <w:rFonts w:hint="default" w:ascii="Calibri" w:hAnsi="Calibri" w:eastAsia="仿宋" w:cs="Calibri"/>
          <w:i w:val="0"/>
          <w:caps w:val="0"/>
          <w:color w:val="auto"/>
          <w:spacing w:val="0"/>
          <w:sz w:val="21"/>
          <w:szCs w:val="21"/>
        </w:rPr>
      </w:pPr>
      <w:r>
        <w:rPr>
          <w:rFonts w:hint="eastAsia" w:ascii="仿宋_GB2312" w:hAnsi="Calibri" w:eastAsia="仿宋" w:cs="仿宋_GB2312"/>
          <w:i w:val="0"/>
          <w:caps w:val="0"/>
          <w:color w:val="auto"/>
          <w:spacing w:val="0"/>
          <w:kern w:val="0"/>
          <w:sz w:val="32"/>
          <w:szCs w:val="32"/>
          <w:shd w:val="clear" w:fill="FFFFFF"/>
          <w:lang w:val="en-US" w:eastAsia="zh-CN" w:bidi="ar"/>
        </w:rPr>
        <w:t>按照政府信息公开规范要求，结合我局实际，对政府信息公开的保密审查、信息送交、统计报送等具体工作进行规范。开展隐私排查工作，对已发布信息逐条排查，进一步加强对公民个人隐私的保护，依法依规维护好人民群众的切身利益，促进政府信息公开工作走上制度化、规范化的轨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二、</w:t>
      </w:r>
      <w:r>
        <w:rPr>
          <w:rFonts w:hint="eastAsia" w:ascii="黑体" w:hAnsi="黑体" w:eastAsia="黑体" w:cs="黑体"/>
          <w:b w:val="0"/>
          <w:bCs/>
          <w:color w:val="auto"/>
          <w:sz w:val="32"/>
          <w:szCs w:val="32"/>
        </w:rPr>
        <w:t>主动公开政府信息情况</w:t>
      </w:r>
    </w:p>
    <w:tbl>
      <w:tblPr>
        <w:tblStyle w:val="3"/>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信息内容</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本年新制作数量</w:t>
            </w:r>
          </w:p>
        </w:tc>
        <w:tc>
          <w:tcPr>
            <w:tcW w:w="202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本年新公开数量</w:t>
            </w:r>
          </w:p>
        </w:tc>
        <w:tc>
          <w:tcPr>
            <w:tcW w:w="229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规    章</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02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29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规范性文件</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02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29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信息内容</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上一年项目数量</w:t>
            </w:r>
          </w:p>
        </w:tc>
        <w:tc>
          <w:tcPr>
            <w:tcW w:w="202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本年增/减</w:t>
            </w:r>
          </w:p>
        </w:tc>
        <w:tc>
          <w:tcPr>
            <w:tcW w:w="229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行政许可</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10</w:t>
            </w:r>
          </w:p>
        </w:tc>
        <w:tc>
          <w:tcPr>
            <w:tcW w:w="202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29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其他对外管理服务事项</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信息内容</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上一年项目数量</w:t>
            </w:r>
          </w:p>
        </w:tc>
        <w:tc>
          <w:tcPr>
            <w:tcW w:w="202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本年增/减</w:t>
            </w:r>
          </w:p>
        </w:tc>
        <w:tc>
          <w:tcPr>
            <w:tcW w:w="229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行政处罚</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3</w:t>
            </w:r>
          </w:p>
        </w:tc>
        <w:tc>
          <w:tcPr>
            <w:tcW w:w="202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+5</w:t>
            </w:r>
          </w:p>
        </w:tc>
        <w:tc>
          <w:tcPr>
            <w:tcW w:w="229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行政强制</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02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29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信息内容</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上一年项目数量</w:t>
            </w:r>
          </w:p>
        </w:tc>
        <w:tc>
          <w:tcPr>
            <w:tcW w:w="432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行政事业性收费</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432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无行政事业性收费项目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信息内容</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采购项目数量</w:t>
            </w:r>
          </w:p>
        </w:tc>
        <w:tc>
          <w:tcPr>
            <w:tcW w:w="432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政府集中采购</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432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_GB2312" w:hAnsi="仿宋" w:eastAsia="仿宋" w:cs="仿宋"/>
          <w:b/>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三、</w:t>
      </w:r>
      <w:r>
        <w:rPr>
          <w:rFonts w:hint="eastAsia" w:ascii="黑体" w:hAnsi="黑体" w:eastAsia="黑体" w:cs="黑体"/>
          <w:b w:val="0"/>
          <w:bCs/>
          <w:color w:val="auto"/>
          <w:sz w:val="32"/>
          <w:szCs w:val="32"/>
        </w:rPr>
        <w:t>收到和处理政府信息公开申请情况</w:t>
      </w:r>
    </w:p>
    <w:tbl>
      <w:tblPr>
        <w:tblStyle w:val="3"/>
        <w:tblW w:w="9046"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1053"/>
        <w:gridCol w:w="1681"/>
        <w:gridCol w:w="750"/>
        <w:gridCol w:w="1005"/>
        <w:gridCol w:w="1005"/>
        <w:gridCol w:w="66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p>
        </w:tc>
        <w:tc>
          <w:tcPr>
            <w:tcW w:w="6865"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p>
        </w:tc>
        <w:tc>
          <w:tcPr>
            <w:tcW w:w="105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自然人</w:t>
            </w:r>
          </w:p>
        </w:tc>
        <w:tc>
          <w:tcPr>
            <w:tcW w:w="510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法人或其他组织</w:t>
            </w:r>
          </w:p>
        </w:tc>
        <w:tc>
          <w:tcPr>
            <w:tcW w:w="7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218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p>
        </w:tc>
        <w:tc>
          <w:tcPr>
            <w:tcW w:w="16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商业</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企业</w:t>
            </w:r>
          </w:p>
        </w:tc>
        <w:tc>
          <w:tcPr>
            <w:tcW w:w="7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科研</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机构</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社会公益组织</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法律服务机构</w:t>
            </w:r>
          </w:p>
        </w:tc>
        <w:tc>
          <w:tcPr>
            <w:tcW w:w="6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其他</w:t>
            </w:r>
          </w:p>
        </w:tc>
        <w:tc>
          <w:tcPr>
            <w:tcW w:w="7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b/>
                <w:color w:val="auto"/>
                <w:sz w:val="24"/>
                <w:szCs w:val="24"/>
              </w:rPr>
              <w:t>一</w:t>
            </w:r>
            <w:r>
              <w:rPr>
                <w:rFonts w:hint="eastAsia" w:ascii="仿宋" w:hAnsi="仿宋" w:eastAsia="仿宋" w:cs="仿宋"/>
                <w:color w:val="auto"/>
                <w:sz w:val="24"/>
                <w:szCs w:val="24"/>
              </w:rPr>
              <w:t>、本年新收政府信息公开申请数量</w:t>
            </w:r>
          </w:p>
        </w:tc>
        <w:tc>
          <w:tcPr>
            <w:tcW w:w="1053"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681"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b/>
                <w:color w:val="auto"/>
                <w:sz w:val="24"/>
                <w:szCs w:val="24"/>
              </w:rPr>
              <w:t>二</w:t>
            </w:r>
            <w:r>
              <w:rPr>
                <w:rFonts w:hint="eastAsia" w:ascii="仿宋" w:hAnsi="仿宋" w:eastAsia="仿宋" w:cs="仿宋"/>
                <w:color w:val="auto"/>
                <w:sz w:val="24"/>
                <w:szCs w:val="24"/>
              </w:rPr>
              <w:t>、上年结转政府信息公开申请数量</w:t>
            </w:r>
          </w:p>
        </w:tc>
        <w:tc>
          <w:tcPr>
            <w:tcW w:w="1053"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681"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restart"/>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b/>
                <w:color w:val="auto"/>
                <w:sz w:val="24"/>
                <w:szCs w:val="24"/>
              </w:rPr>
              <w:t>三</w:t>
            </w:r>
            <w:r>
              <w:rPr>
                <w:rFonts w:hint="eastAsia" w:ascii="仿宋" w:hAnsi="仿宋" w:eastAsia="仿宋" w:cs="仿宋"/>
                <w:color w:val="auto"/>
                <w:sz w:val="24"/>
                <w:szCs w:val="24"/>
              </w:rPr>
              <w:t>、本年度办理结果</w:t>
            </w:r>
          </w:p>
        </w:tc>
        <w:tc>
          <w:tcPr>
            <w:tcW w:w="2734"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（一）予以公开</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2734"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（二）部分公开（区分处理的，只记这一情形，不记其他情形）</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05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（三）不予公开</w:t>
            </w:r>
          </w:p>
        </w:tc>
        <w:tc>
          <w:tcPr>
            <w:tcW w:w="16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1.属于国家秘密</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05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p>
        </w:tc>
        <w:tc>
          <w:tcPr>
            <w:tcW w:w="16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2.其他法律行政法规禁止公开</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05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p>
        </w:tc>
        <w:tc>
          <w:tcPr>
            <w:tcW w:w="16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3.危及“三安全一稳定”</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05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p>
        </w:tc>
        <w:tc>
          <w:tcPr>
            <w:tcW w:w="16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4.保护第三方合法权益</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05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6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5.属于三类内部事务信息</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05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6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6.属于四类过程性信息</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05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6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7.属于行政执法案卷</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05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6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8.属于行政查询事项</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053" w:type="dxa"/>
            <w:vMerge w:val="restart"/>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（四）无法提供</w:t>
            </w:r>
          </w:p>
        </w:tc>
        <w:tc>
          <w:tcPr>
            <w:tcW w:w="16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1.本机关不掌握相关政府信息</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05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6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2.没有现成信息需要另行制作</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05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6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3.补正后申请内容仍不明确</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053" w:type="dxa"/>
            <w:vMerge w:val="restart"/>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（五）不予处理</w:t>
            </w:r>
          </w:p>
        </w:tc>
        <w:tc>
          <w:tcPr>
            <w:tcW w:w="16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1.信访投诉举报类申请</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05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6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2.重复申请</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05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6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3.要求提供公开出版物</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05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6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4.无正当理由大量反复申请</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05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6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5.要求行政机关确认或重新出具已获取信息</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2734"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（六）其他处理</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2734"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（七）总计</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5"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b/>
                <w:color w:val="auto"/>
                <w:sz w:val="24"/>
                <w:szCs w:val="24"/>
              </w:rPr>
              <w:t>四</w:t>
            </w:r>
            <w:r>
              <w:rPr>
                <w:rFonts w:hint="eastAsia" w:ascii="仿宋" w:hAnsi="仿宋" w:eastAsia="仿宋" w:cs="仿宋"/>
                <w:color w:val="auto"/>
                <w:sz w:val="24"/>
                <w:szCs w:val="24"/>
              </w:rPr>
              <w:t>、结转下年度继续办理</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四、</w:t>
      </w:r>
      <w:r>
        <w:rPr>
          <w:rFonts w:hint="eastAsia" w:ascii="黑体" w:hAnsi="黑体" w:eastAsia="黑体" w:cs="黑体"/>
          <w:b w:val="0"/>
          <w:bCs/>
          <w:color w:val="auto"/>
          <w:sz w:val="32"/>
          <w:szCs w:val="32"/>
        </w:rPr>
        <w:t>政府信息公开行政复议、行政诉讼情况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行政复议</w:t>
            </w:r>
            <w:r>
              <w:rPr>
                <w:rFonts w:ascii="仿宋" w:hAnsi="仿宋" w:eastAsia="仿宋" w:cs="仿宋"/>
                <w:color w:val="auto"/>
                <w:sz w:val="24"/>
              </w:rPr>
              <w:br w:type="textWrapping"/>
            </w:r>
            <w:r>
              <w:rPr>
                <w:rFonts w:hint="eastAsia" w:ascii="仿宋" w:hAnsi="仿宋" w:eastAsia="仿宋" w:cs="仿宋"/>
                <w:b/>
                <w:color w:val="auto"/>
                <w:sz w:val="24"/>
              </w:rPr>
              <w:t>（因政府信息公开被行政复议）</w:t>
            </w:r>
          </w:p>
        </w:tc>
        <w:tc>
          <w:tcPr>
            <w:tcW w:w="5680"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行政诉讼</w:t>
            </w:r>
            <w:r>
              <w:rPr>
                <w:rFonts w:ascii="仿宋" w:hAnsi="仿宋" w:eastAsia="仿宋" w:cs="仿宋"/>
                <w:color w:val="auto"/>
                <w:sz w:val="24"/>
              </w:rPr>
              <w:br w:type="textWrapping"/>
            </w:r>
            <w:r>
              <w:rPr>
                <w:rFonts w:hint="eastAsia" w:ascii="仿宋" w:hAnsi="仿宋" w:eastAsia="仿宋" w:cs="仿宋"/>
                <w:b/>
                <w:color w:val="auto"/>
                <w:sz w:val="24"/>
              </w:rPr>
              <w:t>（因政府信息公开被行政诉讼）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结果维护</w:t>
            </w:r>
          </w:p>
        </w:tc>
        <w:tc>
          <w:tcPr>
            <w:tcW w:w="56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结果纠正</w:t>
            </w:r>
          </w:p>
        </w:tc>
        <w:tc>
          <w:tcPr>
            <w:tcW w:w="56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其他结果</w:t>
            </w:r>
          </w:p>
        </w:tc>
        <w:tc>
          <w:tcPr>
            <w:tcW w:w="56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尚未审结</w:t>
            </w:r>
          </w:p>
        </w:tc>
        <w:tc>
          <w:tcPr>
            <w:tcW w:w="56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总计</w:t>
            </w:r>
          </w:p>
        </w:tc>
        <w:tc>
          <w:tcPr>
            <w:tcW w:w="2840"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shd w:val="clear" w:color="auto" w:fill="FFFFFF"/>
              </w:rPr>
              <w:t>未经复议直接起诉</w:t>
            </w:r>
          </w:p>
        </w:tc>
        <w:tc>
          <w:tcPr>
            <w:tcW w:w="2840"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p>
        </w:tc>
        <w:tc>
          <w:tcPr>
            <w:tcW w:w="56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p>
        </w:tc>
        <w:tc>
          <w:tcPr>
            <w:tcW w:w="56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p>
        </w:tc>
        <w:tc>
          <w:tcPr>
            <w:tcW w:w="56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p>
        </w:tc>
        <w:tc>
          <w:tcPr>
            <w:tcW w:w="56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p>
        </w:tc>
        <w:tc>
          <w:tcPr>
            <w:tcW w:w="5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结果维护</w:t>
            </w:r>
          </w:p>
        </w:tc>
        <w:tc>
          <w:tcPr>
            <w:tcW w:w="5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结果纠正</w:t>
            </w:r>
          </w:p>
        </w:tc>
        <w:tc>
          <w:tcPr>
            <w:tcW w:w="5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其他结果</w:t>
            </w:r>
          </w:p>
        </w:tc>
        <w:tc>
          <w:tcPr>
            <w:tcW w:w="5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尚未审结</w:t>
            </w:r>
          </w:p>
        </w:tc>
        <w:tc>
          <w:tcPr>
            <w:tcW w:w="5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总计</w:t>
            </w:r>
          </w:p>
        </w:tc>
        <w:tc>
          <w:tcPr>
            <w:tcW w:w="5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结果维护</w:t>
            </w:r>
          </w:p>
        </w:tc>
        <w:tc>
          <w:tcPr>
            <w:tcW w:w="5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结果纠正</w:t>
            </w:r>
          </w:p>
        </w:tc>
        <w:tc>
          <w:tcPr>
            <w:tcW w:w="5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其他结果</w:t>
            </w:r>
          </w:p>
        </w:tc>
        <w:tc>
          <w:tcPr>
            <w:tcW w:w="5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尚未审结</w:t>
            </w:r>
          </w:p>
        </w:tc>
        <w:tc>
          <w:tcPr>
            <w:tcW w:w="5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rPr>
            </w:pPr>
            <w:r>
              <w:rPr>
                <w:rFonts w:hint="eastAsia" w:ascii="仿宋" w:hAnsi="仿宋" w:eastAsia="仿宋" w:cs="仿宋"/>
                <w:color w:val="auto"/>
                <w:sz w:val="24"/>
                <w:szCs w:val="24"/>
                <w:lang w:val="en-US" w:eastAsia="zh-CN"/>
              </w:rPr>
              <w:t>0</w:t>
            </w:r>
          </w:p>
        </w:tc>
        <w:tc>
          <w:tcPr>
            <w:tcW w:w="56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rPr>
            </w:pPr>
            <w:r>
              <w:rPr>
                <w:rFonts w:hint="eastAsia" w:ascii="仿宋" w:hAnsi="仿宋" w:eastAsia="仿宋" w:cs="仿宋"/>
                <w:color w:val="auto"/>
                <w:sz w:val="24"/>
                <w:szCs w:val="24"/>
                <w:lang w:val="en-US" w:eastAsia="zh-CN"/>
              </w:rPr>
              <w:t>0</w:t>
            </w:r>
          </w:p>
        </w:tc>
        <w:tc>
          <w:tcPr>
            <w:tcW w:w="56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rPr>
            </w:pPr>
            <w:r>
              <w:rPr>
                <w:rFonts w:hint="eastAsia" w:ascii="仿宋" w:hAnsi="仿宋" w:eastAsia="仿宋" w:cs="仿宋"/>
                <w:color w:val="auto"/>
                <w:sz w:val="24"/>
                <w:szCs w:val="24"/>
                <w:lang w:val="en-US" w:eastAsia="zh-CN"/>
              </w:rPr>
              <w:t>0</w:t>
            </w:r>
          </w:p>
        </w:tc>
        <w:tc>
          <w:tcPr>
            <w:tcW w:w="56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rPr>
            </w:pPr>
            <w:r>
              <w:rPr>
                <w:rFonts w:hint="eastAsia" w:ascii="仿宋" w:hAnsi="仿宋" w:eastAsia="仿宋" w:cs="仿宋"/>
                <w:color w:val="auto"/>
                <w:sz w:val="24"/>
                <w:szCs w:val="24"/>
                <w:lang w:val="en-US" w:eastAsia="zh-CN"/>
              </w:rPr>
              <w:t>0</w:t>
            </w:r>
          </w:p>
        </w:tc>
        <w:tc>
          <w:tcPr>
            <w:tcW w:w="56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rPr>
            </w:pPr>
            <w:r>
              <w:rPr>
                <w:rFonts w:hint="eastAsia" w:ascii="仿宋" w:hAnsi="仿宋" w:eastAsia="仿宋" w:cs="仿宋"/>
                <w:color w:val="auto"/>
                <w:sz w:val="24"/>
                <w:szCs w:val="24"/>
                <w:lang w:val="en-US" w:eastAsia="zh-CN"/>
              </w:rPr>
              <w:t>0</w:t>
            </w:r>
          </w:p>
        </w:tc>
        <w:tc>
          <w:tcPr>
            <w:tcW w:w="56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rPr>
            </w:pPr>
            <w:r>
              <w:rPr>
                <w:rFonts w:hint="eastAsia" w:ascii="仿宋" w:hAnsi="仿宋" w:eastAsia="仿宋" w:cs="仿宋"/>
                <w:color w:val="auto"/>
                <w:sz w:val="24"/>
                <w:szCs w:val="24"/>
                <w:lang w:val="en-US" w:eastAsia="zh-CN"/>
              </w:rPr>
              <w:t>0</w:t>
            </w:r>
          </w:p>
        </w:tc>
        <w:tc>
          <w:tcPr>
            <w:tcW w:w="56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rPr>
            </w:pPr>
            <w:r>
              <w:rPr>
                <w:rFonts w:hint="eastAsia" w:ascii="仿宋" w:hAnsi="仿宋" w:eastAsia="仿宋" w:cs="仿宋"/>
                <w:color w:val="auto"/>
                <w:sz w:val="24"/>
                <w:szCs w:val="24"/>
                <w:lang w:val="en-US" w:eastAsia="zh-CN"/>
              </w:rPr>
              <w:t>0</w:t>
            </w:r>
          </w:p>
        </w:tc>
        <w:tc>
          <w:tcPr>
            <w:tcW w:w="56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rPr>
            </w:pPr>
            <w:r>
              <w:rPr>
                <w:rFonts w:hint="eastAsia" w:ascii="仿宋" w:hAnsi="仿宋" w:eastAsia="仿宋" w:cs="仿宋"/>
                <w:color w:val="auto"/>
                <w:sz w:val="24"/>
                <w:szCs w:val="24"/>
                <w:lang w:val="en-US" w:eastAsia="zh-CN"/>
              </w:rPr>
              <w:t>0</w:t>
            </w:r>
          </w:p>
        </w:tc>
        <w:tc>
          <w:tcPr>
            <w:tcW w:w="56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rPr>
            </w:pPr>
            <w:r>
              <w:rPr>
                <w:rFonts w:hint="eastAsia" w:ascii="仿宋" w:hAnsi="仿宋" w:eastAsia="仿宋" w:cs="仿宋"/>
                <w:color w:val="auto"/>
                <w:sz w:val="24"/>
                <w:szCs w:val="24"/>
                <w:lang w:val="en-US" w:eastAsia="zh-CN"/>
              </w:rPr>
              <w:t>0</w:t>
            </w:r>
          </w:p>
        </w:tc>
        <w:tc>
          <w:tcPr>
            <w:tcW w:w="56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rPr>
            </w:pPr>
            <w:r>
              <w:rPr>
                <w:rFonts w:hint="eastAsia" w:ascii="仿宋" w:hAnsi="仿宋" w:eastAsia="仿宋" w:cs="仿宋"/>
                <w:color w:val="auto"/>
                <w:sz w:val="24"/>
                <w:szCs w:val="24"/>
                <w:lang w:val="en-US" w:eastAsia="zh-CN"/>
              </w:rPr>
              <w:t>0</w:t>
            </w:r>
          </w:p>
        </w:tc>
        <w:tc>
          <w:tcPr>
            <w:tcW w:w="56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rPr>
            </w:pPr>
            <w:r>
              <w:rPr>
                <w:rFonts w:hint="eastAsia" w:ascii="仿宋" w:hAnsi="仿宋" w:eastAsia="仿宋" w:cs="仿宋"/>
                <w:color w:val="auto"/>
                <w:sz w:val="24"/>
                <w:szCs w:val="24"/>
                <w:lang w:val="en-US" w:eastAsia="zh-CN"/>
              </w:rPr>
              <w:t>0</w:t>
            </w:r>
          </w:p>
        </w:tc>
        <w:tc>
          <w:tcPr>
            <w:tcW w:w="56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rPr>
            </w:pPr>
            <w:r>
              <w:rPr>
                <w:rFonts w:hint="eastAsia" w:ascii="仿宋" w:hAnsi="仿宋" w:eastAsia="仿宋" w:cs="仿宋"/>
                <w:color w:val="auto"/>
                <w:sz w:val="24"/>
                <w:szCs w:val="24"/>
                <w:lang w:val="en-US" w:eastAsia="zh-CN"/>
              </w:rPr>
              <w:t>0</w:t>
            </w:r>
          </w:p>
        </w:tc>
        <w:tc>
          <w:tcPr>
            <w:tcW w:w="56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rPr>
            </w:pPr>
            <w:r>
              <w:rPr>
                <w:rFonts w:hint="eastAsia" w:ascii="仿宋" w:hAnsi="仿宋" w:eastAsia="仿宋" w:cs="仿宋"/>
                <w:color w:val="auto"/>
                <w:sz w:val="24"/>
                <w:szCs w:val="24"/>
                <w:lang w:val="en-US" w:eastAsia="zh-CN"/>
              </w:rPr>
              <w:t>0</w:t>
            </w:r>
          </w:p>
        </w:tc>
        <w:tc>
          <w:tcPr>
            <w:tcW w:w="56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rPr>
            </w:pPr>
            <w:r>
              <w:rPr>
                <w:rFonts w:hint="eastAsia" w:ascii="仿宋" w:hAnsi="仿宋" w:eastAsia="仿宋" w:cs="仿宋"/>
                <w:color w:val="auto"/>
                <w:sz w:val="24"/>
                <w:szCs w:val="24"/>
                <w:lang w:val="en-US" w:eastAsia="zh-CN"/>
              </w:rPr>
              <w:t>0</w:t>
            </w:r>
          </w:p>
        </w:tc>
        <w:tc>
          <w:tcPr>
            <w:tcW w:w="56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rPr>
            </w:pPr>
            <w:r>
              <w:rPr>
                <w:rFonts w:hint="eastAsia" w:ascii="仿宋" w:hAnsi="仿宋" w:eastAsia="仿宋" w:cs="仿宋"/>
                <w:color w:val="auto"/>
                <w:sz w:val="24"/>
                <w:szCs w:val="24"/>
                <w:lang w:val="en-US" w:eastAsia="zh-CN"/>
              </w:rPr>
              <w:t>0</w:t>
            </w:r>
          </w:p>
        </w:tc>
      </w:tr>
    </w:tbl>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both"/>
        <w:textAlignment w:val="auto"/>
        <w:rPr>
          <w:rFonts w:hint="eastAsia" w:ascii="宋体" w:hAnsi="宋体" w:eastAsia="仿宋" w:cs="宋体"/>
          <w:i w:val="0"/>
          <w:caps w:val="0"/>
          <w:color w:val="auto"/>
          <w:spacing w:val="0"/>
          <w:sz w:val="32"/>
          <w:szCs w:val="3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420"/>
        <w:jc w:val="both"/>
        <w:textAlignment w:val="auto"/>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fill="FFFFFF"/>
        </w:rPr>
        <w:t>五、存在的主要问题及改进情况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420"/>
        <w:jc w:val="both"/>
        <w:textAlignment w:val="auto"/>
        <w:rPr>
          <w:rFonts w:hint="eastAsia" w:ascii="宋体" w:hAnsi="宋体" w:eastAsia="仿宋" w:cs="宋体"/>
          <w:b w:val="0"/>
          <w:bCs/>
          <w:i w:val="0"/>
          <w:caps w:val="0"/>
          <w:color w:val="auto"/>
          <w:spacing w:val="0"/>
          <w:sz w:val="32"/>
          <w:szCs w:val="32"/>
          <w:shd w:val="clear" w:fill="FFFFFF"/>
        </w:rPr>
      </w:pPr>
      <w:r>
        <w:rPr>
          <w:rFonts w:hint="eastAsia" w:ascii="宋体" w:hAnsi="宋体" w:eastAsia="仿宋" w:cs="宋体"/>
          <w:b w:val="0"/>
          <w:bCs/>
          <w:i w:val="0"/>
          <w:caps w:val="0"/>
          <w:color w:val="auto"/>
          <w:spacing w:val="0"/>
          <w:sz w:val="32"/>
          <w:szCs w:val="32"/>
          <w:shd w:val="clear" w:fill="FFFFFF"/>
        </w:rPr>
        <w:t>20</w:t>
      </w:r>
      <w:r>
        <w:rPr>
          <w:rFonts w:hint="eastAsia" w:ascii="宋体" w:hAnsi="宋体" w:eastAsia="仿宋" w:cs="宋体"/>
          <w:b w:val="0"/>
          <w:bCs/>
          <w:i w:val="0"/>
          <w:caps w:val="0"/>
          <w:color w:val="auto"/>
          <w:spacing w:val="0"/>
          <w:sz w:val="32"/>
          <w:szCs w:val="32"/>
          <w:shd w:val="clear" w:fill="FFFFFF"/>
          <w:lang w:val="en-US" w:eastAsia="zh-CN"/>
        </w:rPr>
        <w:t>20</w:t>
      </w:r>
      <w:r>
        <w:rPr>
          <w:rFonts w:hint="eastAsia" w:ascii="宋体" w:hAnsi="宋体" w:eastAsia="仿宋" w:cs="宋体"/>
          <w:b w:val="0"/>
          <w:bCs/>
          <w:i w:val="0"/>
          <w:caps w:val="0"/>
          <w:color w:val="auto"/>
          <w:spacing w:val="0"/>
          <w:sz w:val="32"/>
          <w:szCs w:val="32"/>
          <w:shd w:val="clear" w:fill="FFFFFF"/>
        </w:rPr>
        <w:t>年，农业农村局政府信息公开工作取得了一定成效，但也存在一些问题与不足。主要表现在以下几个方面：一是主动公开</w:t>
      </w:r>
      <w:r>
        <w:rPr>
          <w:rFonts w:ascii="仿宋" w:hAnsi="仿宋" w:eastAsia="仿宋" w:cs="仿宋"/>
          <w:i w:val="0"/>
          <w:iCs w:val="0"/>
          <w:caps w:val="0"/>
          <w:color w:val="000000"/>
          <w:spacing w:val="0"/>
          <w:sz w:val="32"/>
          <w:szCs w:val="32"/>
          <w:shd w:val="clear" w:fill="FFFFFF"/>
        </w:rPr>
        <w:t>形式</w:t>
      </w:r>
      <w:r>
        <w:rPr>
          <w:rFonts w:hint="eastAsia" w:ascii="仿宋" w:hAnsi="仿宋" w:eastAsia="仿宋" w:cs="仿宋"/>
          <w:i w:val="0"/>
          <w:iCs w:val="0"/>
          <w:caps w:val="0"/>
          <w:color w:val="000000"/>
          <w:spacing w:val="0"/>
          <w:sz w:val="32"/>
          <w:szCs w:val="32"/>
          <w:shd w:val="clear" w:fill="FFFFFF"/>
        </w:rPr>
        <w:t>比较单一、不够新颖</w:t>
      </w:r>
      <w:r>
        <w:rPr>
          <w:rFonts w:hint="eastAsia" w:ascii="仿宋" w:hAnsi="仿宋" w:eastAsia="仿宋" w:cs="仿宋"/>
          <w:i w:val="0"/>
          <w:iCs w:val="0"/>
          <w:caps w:val="0"/>
          <w:color w:val="000000"/>
          <w:spacing w:val="0"/>
          <w:sz w:val="32"/>
          <w:szCs w:val="32"/>
          <w:shd w:val="clear" w:fill="FFFFFF"/>
          <w:lang w:eastAsia="zh-CN"/>
        </w:rPr>
        <w:t>，深度和广度</w:t>
      </w:r>
      <w:r>
        <w:rPr>
          <w:rFonts w:hint="eastAsia" w:ascii="宋体" w:hAnsi="宋体" w:eastAsia="仿宋" w:cs="宋体"/>
          <w:b w:val="0"/>
          <w:bCs/>
          <w:i w:val="0"/>
          <w:caps w:val="0"/>
          <w:color w:val="auto"/>
          <w:spacing w:val="0"/>
          <w:sz w:val="32"/>
          <w:szCs w:val="32"/>
          <w:shd w:val="clear" w:fill="FFFFFF"/>
        </w:rPr>
        <w:t>有待进一步拓展。二是政策解读还有待提升。</w:t>
      </w:r>
      <w:r>
        <w:rPr>
          <w:rFonts w:hint="eastAsia" w:ascii="宋体" w:hAnsi="宋体" w:eastAsia="仿宋" w:cs="宋体"/>
          <w:b w:val="0"/>
          <w:bCs/>
          <w:i w:val="0"/>
          <w:caps w:val="0"/>
          <w:color w:val="auto"/>
          <w:spacing w:val="0"/>
          <w:sz w:val="32"/>
          <w:szCs w:val="32"/>
          <w:shd w:val="clear" w:fill="FFFFFF"/>
          <w:lang w:eastAsia="zh-CN"/>
        </w:rPr>
        <w:t>解读缺乏灵活的解读方式，解读质量不高</w:t>
      </w:r>
      <w:r>
        <w:rPr>
          <w:rFonts w:hint="eastAsia" w:ascii="宋体" w:hAnsi="宋体" w:eastAsia="仿宋" w:cs="宋体"/>
          <w:b w:val="0"/>
          <w:bCs/>
          <w:i w:val="0"/>
          <w:caps w:val="0"/>
          <w:color w:val="auto"/>
          <w:spacing w:val="0"/>
          <w:sz w:val="32"/>
          <w:szCs w:val="32"/>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420"/>
        <w:jc w:val="both"/>
        <w:textAlignment w:val="auto"/>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fill="FFFFFF"/>
        </w:rPr>
        <w:t>六、其他需要报告的事项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420"/>
        <w:jc w:val="both"/>
        <w:textAlignment w:val="auto"/>
        <w:rPr>
          <w:rFonts w:hint="eastAsia" w:ascii="宋体" w:hAnsi="宋体" w:eastAsia="仿宋" w:cs="宋体"/>
          <w:b w:val="0"/>
          <w:bCs/>
          <w:i w:val="0"/>
          <w:caps w:val="0"/>
          <w:color w:val="auto"/>
          <w:spacing w:val="0"/>
          <w:sz w:val="32"/>
          <w:szCs w:val="32"/>
          <w:shd w:val="clear" w:fill="FFFFFF"/>
          <w:lang w:eastAsia="zh-CN"/>
        </w:rPr>
      </w:pPr>
      <w:r>
        <w:rPr>
          <w:rFonts w:hint="eastAsia" w:ascii="宋体" w:hAnsi="宋体" w:eastAsia="仿宋" w:cs="宋体"/>
          <w:b w:val="0"/>
          <w:bCs/>
          <w:i w:val="0"/>
          <w:caps w:val="0"/>
          <w:color w:val="auto"/>
          <w:spacing w:val="0"/>
          <w:sz w:val="32"/>
          <w:szCs w:val="32"/>
          <w:shd w:val="clear" w:fill="FFFFFF"/>
        </w:rPr>
        <w:t>无其他需要报告的事</w:t>
      </w:r>
      <w:r>
        <w:rPr>
          <w:rFonts w:hint="eastAsia" w:ascii="宋体" w:hAnsi="宋体" w:eastAsia="仿宋" w:cs="宋体"/>
          <w:b w:val="0"/>
          <w:bCs/>
          <w:i w:val="0"/>
          <w:caps w:val="0"/>
          <w:color w:val="auto"/>
          <w:spacing w:val="0"/>
          <w:sz w:val="32"/>
          <w:szCs w:val="32"/>
          <w:shd w:val="clear" w:fill="FFFFFF"/>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420"/>
        <w:jc w:val="both"/>
        <w:textAlignment w:val="auto"/>
        <w:rPr>
          <w:rFonts w:hint="eastAsia" w:ascii="宋体" w:hAnsi="宋体" w:eastAsia="仿宋" w:cs="宋体"/>
          <w:b w:val="0"/>
          <w:bCs/>
          <w:i w:val="0"/>
          <w:caps w:val="0"/>
          <w:color w:val="auto"/>
          <w:spacing w:val="0"/>
          <w:sz w:val="32"/>
          <w:szCs w:val="32"/>
          <w:shd w:val="clear" w:fill="FFFFFF"/>
          <w:lang w:eastAsia="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420"/>
        <w:jc w:val="both"/>
        <w:textAlignment w:val="auto"/>
        <w:rPr>
          <w:rFonts w:hint="eastAsia" w:ascii="宋体" w:hAnsi="宋体" w:eastAsia="仿宋" w:cs="宋体"/>
          <w:b w:val="0"/>
          <w:bCs/>
          <w:i w:val="0"/>
          <w:caps w:val="0"/>
          <w:color w:val="auto"/>
          <w:spacing w:val="0"/>
          <w:sz w:val="32"/>
          <w:szCs w:val="32"/>
          <w:shd w:val="clear" w:fill="FFFFFF"/>
          <w:lang w:eastAsia="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420"/>
        <w:jc w:val="both"/>
        <w:textAlignment w:val="auto"/>
        <w:rPr>
          <w:rFonts w:hint="eastAsia" w:ascii="宋体" w:hAnsi="宋体" w:eastAsia="仿宋" w:cs="宋体"/>
          <w:b w:val="0"/>
          <w:bCs/>
          <w:i w:val="0"/>
          <w:caps w:val="0"/>
          <w:color w:val="auto"/>
          <w:spacing w:val="0"/>
          <w:sz w:val="32"/>
          <w:szCs w:val="32"/>
          <w:shd w:val="clear" w:fill="FFFFFF"/>
          <w:lang w:val="en-US" w:eastAsia="zh-CN"/>
        </w:rPr>
      </w:pPr>
      <w:r>
        <w:rPr>
          <w:rFonts w:hint="eastAsia" w:ascii="宋体" w:hAnsi="宋体" w:eastAsia="仿宋" w:cs="宋体"/>
          <w:b w:val="0"/>
          <w:bCs/>
          <w:i w:val="0"/>
          <w:caps w:val="0"/>
          <w:color w:val="auto"/>
          <w:spacing w:val="0"/>
          <w:sz w:val="32"/>
          <w:szCs w:val="32"/>
          <w:shd w:val="clear" w:fill="FFFFFF"/>
          <w:lang w:val="en-US" w:eastAsia="zh-CN"/>
        </w:rPr>
        <w:t xml:space="preserve">                            上高县农业农村局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420"/>
        <w:jc w:val="both"/>
        <w:textAlignment w:val="auto"/>
        <w:rPr>
          <w:rFonts w:hint="default" w:ascii="宋体" w:hAnsi="宋体" w:eastAsia="仿宋" w:cs="宋体"/>
          <w:b w:val="0"/>
          <w:bCs/>
          <w:i w:val="0"/>
          <w:caps w:val="0"/>
          <w:color w:val="auto"/>
          <w:spacing w:val="0"/>
          <w:sz w:val="32"/>
          <w:szCs w:val="32"/>
          <w:shd w:val="clear" w:fill="FFFFFF"/>
          <w:lang w:val="en-US" w:eastAsia="zh-CN"/>
        </w:rPr>
      </w:pPr>
      <w:r>
        <w:rPr>
          <w:rFonts w:hint="eastAsia" w:ascii="宋体" w:hAnsi="宋体" w:eastAsia="仿宋" w:cs="宋体"/>
          <w:b w:val="0"/>
          <w:bCs/>
          <w:i w:val="0"/>
          <w:caps w:val="0"/>
          <w:color w:val="auto"/>
          <w:spacing w:val="0"/>
          <w:sz w:val="32"/>
          <w:szCs w:val="32"/>
          <w:shd w:val="clear" w:fill="FFFFFF"/>
          <w:lang w:val="en-US" w:eastAsia="zh-CN"/>
        </w:rPr>
        <w:t xml:space="preserve">                             2021年1月28日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5NDE3YjMzYThmYmY1NDg2YzEyNmQ1N2Q2ZmEyOWMifQ=="/>
  </w:docVars>
  <w:rsids>
    <w:rsidRoot w:val="00000000"/>
    <w:rsid w:val="05402268"/>
    <w:rsid w:val="072F4BA5"/>
    <w:rsid w:val="0A130DB3"/>
    <w:rsid w:val="0A3F2403"/>
    <w:rsid w:val="0F42566A"/>
    <w:rsid w:val="0FE32618"/>
    <w:rsid w:val="17534F7D"/>
    <w:rsid w:val="1B931963"/>
    <w:rsid w:val="222C4A70"/>
    <w:rsid w:val="23B06487"/>
    <w:rsid w:val="2480713E"/>
    <w:rsid w:val="25C813C7"/>
    <w:rsid w:val="42C9736B"/>
    <w:rsid w:val="42E93304"/>
    <w:rsid w:val="48645860"/>
    <w:rsid w:val="519D4381"/>
    <w:rsid w:val="566E50F8"/>
    <w:rsid w:val="56857A37"/>
    <w:rsid w:val="58F97A67"/>
    <w:rsid w:val="5FCE6A83"/>
    <w:rsid w:val="6C5D2136"/>
    <w:rsid w:val="6EB526D3"/>
    <w:rsid w:val="6EC41F3F"/>
    <w:rsid w:val="70F12F46"/>
    <w:rsid w:val="7B440FF1"/>
    <w:rsid w:val="7D310D2D"/>
    <w:rsid w:val="7D7C7DE7"/>
    <w:rsid w:val="7F284D60"/>
    <w:rsid w:val="7FB55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val="0"/>
      <w:keepLines w:val="0"/>
      <w:spacing w:beforeLines="0" w:beforeAutospacing="0" w:afterLines="0" w:afterAutospacing="0" w:line="560" w:lineRule="exact"/>
      <w:ind w:firstLine="0" w:firstLineChars="0"/>
      <w:jc w:val="center"/>
      <w:outlineLvl w:val="0"/>
    </w:pPr>
    <w:rPr>
      <w:rFonts w:eastAsia="方正小标宋简体"/>
      <w:kern w:val="44"/>
      <w:sz w:val="44"/>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2123</Words>
  <Characters>2236</Characters>
  <Lines>0</Lines>
  <Paragraphs>0</Paragraphs>
  <TotalTime>2</TotalTime>
  <ScaleCrop>false</ScaleCrop>
  <LinksUpToDate>false</LinksUpToDate>
  <CharactersWithSpaces>2297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清风</cp:lastModifiedBy>
  <cp:lastPrinted>2021-01-28T01:26:00Z</cp:lastPrinted>
  <dcterms:modified xsi:type="dcterms:W3CDTF">2023-12-25T07:39:48Z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4E19F8190BBB425393A11A6F2DFC9A74</vt:lpwstr>
  </property>
</Properties>
</file>